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E" w:rsidRPr="00F60E27" w:rsidRDefault="00F60E27" w:rsidP="00F60E27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lang w:eastAsia="ru-RU"/>
        </w:rPr>
      </w:pP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val="en-US" w:eastAsia="ru-RU"/>
        </w:rPr>
        <w:tab/>
      </w:r>
      <w:r w:rsidRPr="00F60E27">
        <w:rPr>
          <w:rFonts w:ascii="PTSansNarrowRegular" w:eastAsia="Times New Roman" w:hAnsi="PTSansNarrowRegular" w:cs="Times New Roman"/>
          <w:lang w:eastAsia="ru-RU"/>
        </w:rPr>
        <w:t>ПРИЛОЖЕНИЕ</w:t>
      </w:r>
    </w:p>
    <w:p w:rsidR="00F60E27" w:rsidRPr="00F60E27" w:rsidRDefault="00F60E27" w:rsidP="00F60E27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lang w:eastAsia="ru-RU"/>
        </w:rPr>
      </w:pPr>
      <w:r w:rsidRPr="00F60E27">
        <w:rPr>
          <w:rFonts w:ascii="PTSansNarrowRegular" w:eastAsia="Times New Roman" w:hAnsi="PTSansNarrowRegular" w:cs="Times New Roman" w:hint="eastAsia"/>
          <w:lang w:eastAsia="ru-RU"/>
        </w:rPr>
        <w:t>К</w:t>
      </w:r>
      <w:r w:rsidRPr="00F60E27">
        <w:rPr>
          <w:rFonts w:ascii="PTSansNarrowRegular" w:eastAsia="Times New Roman" w:hAnsi="PTSansNarrowRegular" w:cs="Times New Roman"/>
          <w:lang w:eastAsia="ru-RU"/>
        </w:rPr>
        <w:t xml:space="preserve"> приказу КПДО</w:t>
      </w:r>
    </w:p>
    <w:p w:rsidR="00F60E27" w:rsidRDefault="00F60E27" w:rsidP="00F60E27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lang w:eastAsia="ru-RU"/>
        </w:rPr>
      </w:pPr>
      <w:r w:rsidRPr="00F60E27">
        <w:rPr>
          <w:rFonts w:ascii="PTSansNarrowRegular" w:eastAsia="Times New Roman" w:hAnsi="PTSansNarrowRegular" w:cs="Times New Roman" w:hint="eastAsia"/>
          <w:lang w:eastAsia="ru-RU"/>
        </w:rPr>
        <w:t>О</w:t>
      </w:r>
      <w:r w:rsidRPr="00F60E27">
        <w:rPr>
          <w:rFonts w:ascii="PTSansNarrowRegular" w:eastAsia="Times New Roman" w:hAnsi="PTSansNarrowRegular" w:cs="Times New Roman"/>
          <w:lang w:eastAsia="ru-RU"/>
        </w:rPr>
        <w:t>т 31.12.2015 г. № 79-од</w:t>
      </w:r>
    </w:p>
    <w:p w:rsidR="00F60E27" w:rsidRDefault="00F60E27" w:rsidP="00F60E27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lang w:eastAsia="ru-RU"/>
        </w:rPr>
      </w:pPr>
    </w:p>
    <w:p w:rsidR="00F60E27" w:rsidRPr="00F60E27" w:rsidRDefault="00F60E27" w:rsidP="00F60E27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lang w:eastAsia="ru-RU"/>
        </w:rPr>
      </w:pPr>
    </w:p>
    <w:p w:rsidR="00F60E27" w:rsidRPr="00F60E27" w:rsidRDefault="00F60E27" w:rsidP="00F60E27">
      <w:pPr>
        <w:shd w:val="clear" w:color="auto" w:fill="FFFFFF"/>
        <w:spacing w:after="0" w:line="240" w:lineRule="auto"/>
        <w:jc w:val="center"/>
        <w:outlineLvl w:val="2"/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</w:pPr>
      <w:r w:rsidRPr="00F60E27">
        <w:rPr>
          <w:rFonts w:ascii="PTSansNarrowRegular" w:eastAsia="Times New Roman" w:hAnsi="PTSansNarrowRegular" w:cs="Times New Roman" w:hint="eastAsia"/>
          <w:b/>
          <w:bCs/>
          <w:sz w:val="28"/>
          <w:szCs w:val="28"/>
          <w:lang w:eastAsia="ru-RU"/>
        </w:rPr>
        <w:t>ПОЛОЖЕНИЕ</w:t>
      </w:r>
    </w:p>
    <w:p w:rsidR="00F60E27" w:rsidRPr="00F60E27" w:rsidRDefault="00CB4C9E" w:rsidP="00F60E27">
      <w:pPr>
        <w:shd w:val="clear" w:color="auto" w:fill="FFFFFF"/>
        <w:spacing w:after="0" w:line="240" w:lineRule="auto"/>
        <w:jc w:val="center"/>
        <w:outlineLvl w:val="2"/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</w:pPr>
      <w:r w:rsidRPr="00F60E27"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  <w:t xml:space="preserve"> о котировочной комиссии по определению поставщиков</w:t>
      </w:r>
    </w:p>
    <w:p w:rsidR="00CB4C9E" w:rsidRPr="00F60E27" w:rsidRDefault="00CB4C9E" w:rsidP="00F60E27">
      <w:pPr>
        <w:shd w:val="clear" w:color="auto" w:fill="FFFFFF"/>
        <w:spacing w:after="0" w:line="240" w:lineRule="auto"/>
        <w:jc w:val="center"/>
        <w:outlineLvl w:val="2"/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</w:pPr>
      <w:r w:rsidRPr="00F60E27"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  <w:t xml:space="preserve"> (подрядчиков, исполнителей) </w:t>
      </w:r>
      <w:r w:rsidR="00F60E27">
        <w:rPr>
          <w:rFonts w:ascii="PTSansNarrowRegular" w:eastAsia="Times New Roman" w:hAnsi="PTSansNarrowRegular" w:cs="Times New Roman"/>
          <w:b/>
          <w:bCs/>
          <w:sz w:val="28"/>
          <w:szCs w:val="28"/>
          <w:lang w:eastAsia="ru-RU"/>
        </w:rPr>
        <w:t>Комитета Правительства ЧР по дошкольному образованию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 w:rsid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Правительства Чеченской республики по дошкольному образованию</w:t>
      </w: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заказчик)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понятия: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</w:t>
      </w: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Законом о контрактной системе.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Процедуры по определению поставщиков (подрядчиков, исполнителей) проводятся самим заказчиком.</w:t>
      </w:r>
    </w:p>
    <w:p w:rsidR="00CB4C9E" w:rsidRPr="00F60E27" w:rsidRDefault="00CB4C9E" w:rsidP="00F6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Правовое регулирование</w:t>
      </w:r>
    </w:p>
    <w:p w:rsidR="00CB4C9E" w:rsidRPr="00F60E27" w:rsidRDefault="00CB4C9E" w:rsidP="00F6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 комиссия в процессе своей деятельности обязана руководствоваться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создания и принципы работы котировочной комиссии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Котировочная комиссия создается в целях проведения запросов котировок.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Принципы деятельности котировочной комиссии.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B4C9E" w:rsidRPr="00F60E27" w:rsidRDefault="00CB4C9E" w:rsidP="00F6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Функции комиссии при проведении запросов котировок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Котировочная комиссия вскрывает конверты с заявками на участие в запросе котировок и открывает доступ к заявкам, поданным в форме электронных документов, во время и в месте, которые указаны в извещении о проведении запроса котировок.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Вскрытие всех поступивших конвертов с заявками на участие в запросе котировок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котировочная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поданным в форме электронных документов заявкам.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Победителем запроса котировок признается его участник, подавший заявку на участие в запросе котировок,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котировок которого поступила ранее других таких заявок с аналогичным предложением.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представлены документы и информация, предусмотренные ч. 3 ст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. 73 Закона о контрактной системе.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заявок на участие в запросе котировок по иным основаниям не допускается.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CB4C9E" w:rsidRPr="00F60E27" w:rsidRDefault="00CB4C9E" w:rsidP="00F60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Закона о контрактной системе.</w:t>
      </w:r>
      <w:bookmarkStart w:id="0" w:name="_GoBack"/>
      <w:bookmarkEnd w:id="0"/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создания и работы котировочной комиссии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Котировочная комиссия является коллегиальным органом заказчика, действующим на постоянной основе. Персональный состав котировочной комиссии, ее председатель, заместитель председателя,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котировочной комиссии утверждаются приказом заказчика.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Котировочная комиссия должна состоять не менее чем из трех человек.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Членами котировочной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усыновленными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участника закупки. Кроме того,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составе котировочной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отсутствии председателя котировочной комиссии его обязанности исполняет заместитель председателя.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Замена члена котировочной комиссии допускается только по решению заказчика.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Уведомление членов котировочной комиссии о месте, дате и времени проведения заседаний комиссии осуществляется не </w:t>
      </w:r>
      <w:proofErr w:type="gram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Права членов котировочной комиссии: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5.9.2. Выступать по вопросам повестки дня на заседаниях котировочной комиссии.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5.9.3.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Обязанности членов котировочной комиссии: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 Принимать решения в пределах своей компетенции.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Решение котировочной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Функции председателя котировочной комиссии либо лица, которое его замещает: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5.12.1. Осуществлять общее руководство работой котировочной комиссии и обеспечивать выполнение настоящего Положения.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5.12.3. Открывать и вести заседания котировочной комиссии, </w:t>
      </w:r>
      <w:proofErr w:type="spellStart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объявляеть</w:t>
      </w:r>
      <w:proofErr w:type="spellEnd"/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перерывы.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5.12.4. В случае необходимости выносить на обсуждение котировочной комиссии вопрос о привлечении к работе экспертов.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5.12.5. Подписывать протоколы, составленные в ходе работы котировочной комиссии.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CB4C9E" w:rsidRPr="00F60E27" w:rsidRDefault="00CB4C9E" w:rsidP="00CB4C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2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92241B" w:rsidRPr="00F60E27" w:rsidRDefault="0092241B">
      <w:pPr>
        <w:rPr>
          <w:rFonts w:ascii="Times New Roman" w:hAnsi="Times New Roman" w:cs="Times New Roman"/>
          <w:sz w:val="28"/>
          <w:szCs w:val="28"/>
        </w:rPr>
      </w:pPr>
    </w:p>
    <w:sectPr w:rsidR="0092241B" w:rsidRPr="00F6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Narrow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E"/>
    <w:rsid w:val="0092241B"/>
    <w:rsid w:val="00CB4C9E"/>
    <w:rsid w:val="00F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rig">
    <w:name w:val="strig"/>
    <w:basedOn w:val="a"/>
    <w:rsid w:val="00CB4C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rsid w:val="00CB4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rig">
    <w:name w:val="strig"/>
    <w:basedOn w:val="a"/>
    <w:rsid w:val="00CB4C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rsid w:val="00CB4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4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047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надежда</cp:lastModifiedBy>
  <cp:revision>2</cp:revision>
  <cp:lastPrinted>2017-02-28T07:56:00Z</cp:lastPrinted>
  <dcterms:created xsi:type="dcterms:W3CDTF">2017-02-28T07:56:00Z</dcterms:created>
  <dcterms:modified xsi:type="dcterms:W3CDTF">2017-02-28T07:56:00Z</dcterms:modified>
</cp:coreProperties>
</file>