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87E" w:rsidRDefault="00F7287E" w:rsidP="00F7287E">
      <w:pPr>
        <w:pStyle w:val="consplusnormal"/>
        <w:spacing w:before="0" w:beforeAutospacing="0" w:after="0" w:afterAutospacing="0" w:line="360" w:lineRule="atLeast"/>
        <w:jc w:val="center"/>
        <w:textAlignment w:val="baseline"/>
        <w:rPr>
          <w:rFonts w:ascii="Tahoma" w:hAnsi="Tahoma" w:cs="Tahoma"/>
          <w:color w:val="327D4B"/>
        </w:rPr>
      </w:pPr>
      <w:bookmarkStart w:id="0" w:name="_GoBack"/>
      <w:bookmarkEnd w:id="0"/>
      <w:r>
        <w:rPr>
          <w:rFonts w:ascii="Tahoma" w:hAnsi="Tahoma" w:cs="Tahoma"/>
          <w:color w:val="327D4B"/>
        </w:rPr>
        <w:t> </w:t>
      </w:r>
    </w:p>
    <w:p w:rsidR="00F7287E" w:rsidRDefault="00F7287E" w:rsidP="00F7287E">
      <w:pPr>
        <w:pStyle w:val="consplusnormal"/>
        <w:spacing w:before="0" w:beforeAutospacing="0" w:after="0" w:afterAutospacing="0" w:line="360" w:lineRule="atLeast"/>
        <w:jc w:val="center"/>
        <w:textAlignment w:val="baseline"/>
        <w:rPr>
          <w:rFonts w:ascii="Tahoma" w:hAnsi="Tahoma" w:cs="Tahoma"/>
          <w:color w:val="327D4B"/>
        </w:rPr>
      </w:pPr>
      <w:bookmarkStart w:id="1" w:name="Par401"/>
      <w:bookmarkEnd w:id="1"/>
      <w:r>
        <w:rPr>
          <w:color w:val="327D4B"/>
          <w:sz w:val="28"/>
          <w:szCs w:val="28"/>
          <w:bdr w:val="none" w:sz="0" w:space="0" w:color="auto" w:frame="1"/>
        </w:rPr>
        <w:t>СБОРНИК</w:t>
      </w:r>
    </w:p>
    <w:p w:rsidR="00F7287E" w:rsidRDefault="00F7287E" w:rsidP="00F7287E">
      <w:pPr>
        <w:pStyle w:val="consplusnormal"/>
        <w:spacing w:before="0" w:beforeAutospacing="0" w:after="0" w:afterAutospacing="0" w:line="360" w:lineRule="atLeast"/>
        <w:jc w:val="center"/>
        <w:textAlignment w:val="baseline"/>
        <w:rPr>
          <w:rFonts w:ascii="Tahoma" w:hAnsi="Tahoma" w:cs="Tahoma"/>
          <w:color w:val="327D4B"/>
        </w:rPr>
      </w:pPr>
      <w:r>
        <w:rPr>
          <w:color w:val="327D4B"/>
          <w:sz w:val="28"/>
          <w:szCs w:val="28"/>
          <w:bdr w:val="none" w:sz="0" w:space="0" w:color="auto" w:frame="1"/>
        </w:rPr>
        <w:t>ПОЛОЖЕНИЙ НОРМАТИВНЫХ ПРАВОВЫХ АКТОВ, УСТАНАВЛИВАЮЩИХ МЕРЫ</w:t>
      </w:r>
    </w:p>
    <w:p w:rsidR="00F7287E" w:rsidRDefault="00F7287E" w:rsidP="00F7287E">
      <w:pPr>
        <w:pStyle w:val="consplusnormal"/>
        <w:spacing w:before="0" w:beforeAutospacing="0" w:after="0" w:afterAutospacing="0" w:line="360" w:lineRule="atLeast"/>
        <w:jc w:val="center"/>
        <w:textAlignment w:val="baseline"/>
        <w:rPr>
          <w:rFonts w:ascii="Tahoma" w:hAnsi="Tahoma" w:cs="Tahoma"/>
          <w:color w:val="327D4B"/>
        </w:rPr>
      </w:pPr>
      <w:r>
        <w:rPr>
          <w:color w:val="327D4B"/>
          <w:sz w:val="28"/>
          <w:szCs w:val="28"/>
          <w:bdr w:val="none" w:sz="0" w:space="0" w:color="auto" w:frame="1"/>
        </w:rPr>
        <w:t>ОТВЕТСТВЕННОСТИ ЗА СОВЕРШЕНИЕ КОРРУПЦИОННЫХ</w:t>
      </w:r>
    </w:p>
    <w:p w:rsidR="00F7287E" w:rsidRDefault="00F7287E" w:rsidP="00F7287E">
      <w:pPr>
        <w:pStyle w:val="consplusnormal"/>
        <w:spacing w:before="0" w:beforeAutospacing="0" w:after="0" w:afterAutospacing="0" w:line="360" w:lineRule="atLeast"/>
        <w:jc w:val="center"/>
        <w:textAlignment w:val="baseline"/>
        <w:rPr>
          <w:rFonts w:ascii="Tahoma" w:hAnsi="Tahoma" w:cs="Tahoma"/>
          <w:color w:val="327D4B"/>
        </w:rPr>
      </w:pPr>
      <w:r>
        <w:rPr>
          <w:color w:val="327D4B"/>
          <w:sz w:val="28"/>
          <w:szCs w:val="28"/>
          <w:bdr w:val="none" w:sz="0" w:space="0" w:color="auto" w:frame="1"/>
        </w:rPr>
        <w:t>ПРАВОНАРУШЕНИЙ &lt;1&gt;</w:t>
      </w:r>
    </w:p>
    <w:p w:rsidR="00F7287E" w:rsidRDefault="00F7287E" w:rsidP="00F7287E">
      <w:pPr>
        <w:pStyle w:val="consplusnormal"/>
        <w:spacing w:before="0" w:beforeAutospacing="0" w:after="0" w:afterAutospacing="0" w:line="360" w:lineRule="atLeast"/>
        <w:jc w:val="center"/>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&lt;1&gt; Положения нормативных правовых актов приведены по состоянию на 7 октября 2013 г.</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2" w:name="Par409"/>
      <w:bookmarkEnd w:id="2"/>
      <w:r>
        <w:rPr>
          <w:color w:val="327D4B"/>
          <w:sz w:val="28"/>
          <w:szCs w:val="28"/>
          <w:bdr w:val="none" w:sz="0" w:space="0" w:color="auto" w:frame="1"/>
        </w:rPr>
        <w:t>Федеральный закон от 25 декабря 2008 г. N 273-ФЗ "О противодействии коррупции"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3" w:name="Par411"/>
      <w:bookmarkEnd w:id="3"/>
      <w:r>
        <w:rPr>
          <w:color w:val="327D4B"/>
          <w:sz w:val="28"/>
          <w:szCs w:val="28"/>
          <w:bdr w:val="none" w:sz="0" w:space="0" w:color="auto" w:frame="1"/>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w:t>
      </w:r>
      <w:r>
        <w:rPr>
          <w:color w:val="327D4B"/>
          <w:sz w:val="28"/>
          <w:szCs w:val="28"/>
          <w:bdr w:val="none" w:sz="0" w:space="0" w:color="auto" w:frame="1"/>
        </w:rPr>
        <w:lastRenderedPageBreak/>
        <w:t>течение одного рабочего дня и уведомить его устно в течение трех рабочих дней.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w:t>
      </w:r>
      <w:r>
        <w:rPr>
          <w:color w:val="327D4B"/>
          <w:sz w:val="28"/>
          <w:szCs w:val="28"/>
          <w:bdr w:val="none" w:sz="0" w:space="0" w:color="auto" w:frame="1"/>
        </w:rPr>
        <w:lastRenderedPageBreak/>
        <w:t>осуществляется в порядке, устанавливаемом нормативными правовыми актами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Пунктом 1 Постановления указанно, что сообщение о приеме на работу гражданина осуществляется в письменной форме.</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4" w:name="Par426"/>
      <w:bookmarkEnd w:id="4"/>
      <w:r>
        <w:rPr>
          <w:color w:val="327D4B"/>
          <w:sz w:val="28"/>
          <w:szCs w:val="28"/>
          <w:bdr w:val="none" w:sz="0" w:space="0" w:color="auto" w:frame="1"/>
        </w:rPr>
        <w:t>Статья 13. Ответственность физических лиц за коррупционные правонарушения</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5" w:name="Par431"/>
      <w:bookmarkEnd w:id="5"/>
      <w:r>
        <w:rPr>
          <w:color w:val="327D4B"/>
          <w:sz w:val="28"/>
          <w:szCs w:val="28"/>
          <w:bdr w:val="none" w:sz="0" w:space="0" w:color="auto" w:frame="1"/>
        </w:rPr>
        <w:t>Статья 13.3. Обязанность организаций принимать меры по предупреждению коррупции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Организации обязаны разрабатывать и принимать меры по предупреждению коррупции.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Меры по предупреждению коррупции, принимаемые в организации, могут включать:</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определение подразделений или должностных лиц, ответственных за профилактику коррупционных и иных правонарушений;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сотрудничество организации с правоохранительными органами;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разработку и внедрение в практику стандартов и процедур, направленных на обеспечение добросовестной работы организации;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4) принятие кодекса этики и служебного поведения работников организации;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5) предотвращение и урегулирование конфликта интересов;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6) недопущение составления неофициальной отчетности и использования поддельных документов.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6" w:name="Par442"/>
      <w:bookmarkEnd w:id="6"/>
      <w:r>
        <w:rPr>
          <w:color w:val="327D4B"/>
          <w:sz w:val="28"/>
          <w:szCs w:val="28"/>
          <w:bdr w:val="none" w:sz="0" w:space="0" w:color="auto" w:frame="1"/>
        </w:rPr>
        <w:t>Статья 14. Ответственность юридических лиц за коррупционные правонарушения</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Pr>
          <w:color w:val="327D4B"/>
          <w:sz w:val="28"/>
          <w:szCs w:val="28"/>
          <w:bdr w:val="none" w:sz="0" w:space="0" w:color="auto" w:frame="1"/>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7" w:name="Par448"/>
      <w:bookmarkEnd w:id="7"/>
      <w:r>
        <w:rPr>
          <w:color w:val="327D4B"/>
          <w:sz w:val="28"/>
          <w:szCs w:val="28"/>
          <w:bdr w:val="none" w:sz="0" w:space="0" w:color="auto" w:frame="1"/>
        </w:rPr>
        <w:t>Уголовный кодекс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8" w:name="Par450"/>
      <w:bookmarkEnd w:id="8"/>
      <w:r>
        <w:rPr>
          <w:color w:val="327D4B"/>
          <w:sz w:val="28"/>
          <w:szCs w:val="28"/>
          <w:bdr w:val="none" w:sz="0" w:space="0" w:color="auto" w:frame="1"/>
        </w:rPr>
        <w:t>Статья 159. Мошенничество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Мошенничество, то есть хищение чужого имущества или приобретение права на чужое имущество путем обмана или злоупотребления доверием,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Мошенничество, совершенное группой лиц по предварительному сговору, а равно с причинением значительного ущерба гражданину,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Мошенничество, совершенное лицом с использованием своего служебного положения, а равно в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lastRenderedPageBreak/>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9" w:name="Par461"/>
      <w:bookmarkEnd w:id="9"/>
      <w:r>
        <w:rPr>
          <w:color w:val="327D4B"/>
          <w:sz w:val="28"/>
          <w:szCs w:val="28"/>
          <w:bdr w:val="none" w:sz="0" w:space="0" w:color="auto" w:frame="1"/>
        </w:rPr>
        <w:t>Статья 159.4. Мошенничество в сфере предпринимательской деятельности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Мошенничество, сопряженное с преднамеренным неисполнением договорных обязательств в сфере предпринимательской деятельности,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То же деяние, совершенное в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То же деяние, совершенное в особо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0" w:name="Par470"/>
      <w:bookmarkEnd w:id="10"/>
      <w:r>
        <w:rPr>
          <w:color w:val="327D4B"/>
          <w:sz w:val="28"/>
          <w:szCs w:val="28"/>
          <w:bdr w:val="none" w:sz="0" w:space="0" w:color="auto" w:frame="1"/>
        </w:rPr>
        <w:t>Статья 201. Злоупотребление полномочиями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То же деяние, повлекшее тяжкие последствия,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1" w:name="Par480"/>
      <w:bookmarkEnd w:id="11"/>
      <w:r>
        <w:rPr>
          <w:color w:val="327D4B"/>
          <w:sz w:val="28"/>
          <w:szCs w:val="28"/>
          <w:bdr w:val="none" w:sz="0" w:space="0" w:color="auto" w:frame="1"/>
        </w:rPr>
        <w:t>Статья 204. Коммерческий подкуп</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w:t>
      </w:r>
      <w:r>
        <w:rPr>
          <w:color w:val="327D4B"/>
          <w:sz w:val="28"/>
          <w:szCs w:val="28"/>
          <w:bdr w:val="none" w:sz="0" w:space="0" w:color="auto" w:frame="1"/>
        </w:rPr>
        <w:lastRenderedPageBreak/>
        <w:t>иных имущественных прав за совершение действий (бездействие) в интересах дающего в связи с занимаемым этим лицом служебным положением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Деяния, предусмотренные частью первой настоящей статьи, если они: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а) совершены группой лиц по предварительному сговору или организованной группой;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б) совершены за заведомо незаконные действия (бездействие),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4. Деяния, предусмотренные частью третьей настоящей статьи, если они: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а) совершены группой лиц по предварительному сговору или организованной группой;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б) сопряжены с вымогательством предмета подкупа;</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 совершены за незаконные действия (бездействие),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наказываются штрафом в размере от пятидесятикратной до девяностократной суммы коммерческого подкупа с лишением права </w:t>
      </w:r>
      <w:r>
        <w:rPr>
          <w:color w:val="327D4B"/>
          <w:sz w:val="28"/>
          <w:szCs w:val="28"/>
          <w:bdr w:val="none" w:sz="0" w:space="0" w:color="auto" w:frame="1"/>
        </w:rPr>
        <w:lastRenderedPageBreak/>
        <w:t>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2" w:name="Par497"/>
      <w:bookmarkEnd w:id="12"/>
      <w:r>
        <w:rPr>
          <w:color w:val="327D4B"/>
          <w:sz w:val="28"/>
          <w:szCs w:val="28"/>
          <w:bdr w:val="none" w:sz="0" w:space="0" w:color="auto" w:frame="1"/>
        </w:rPr>
        <w:t>Статья 285. Злоупотребление должностными полномочиями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Деяния, предусмотренные частями первой или второй настоящей статьи, повлекшие тяжкие последствия,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lastRenderedPageBreak/>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3" w:name="Par510"/>
      <w:bookmarkEnd w:id="13"/>
      <w:r>
        <w:rPr>
          <w:color w:val="327D4B"/>
          <w:sz w:val="28"/>
          <w:szCs w:val="28"/>
          <w:bdr w:val="none" w:sz="0" w:space="0" w:color="auto" w:frame="1"/>
        </w:rPr>
        <w:t>Статья 290. Получение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наказывается штрафом в размере от </w:t>
      </w:r>
      <w:proofErr w:type="spellStart"/>
      <w:r>
        <w:rPr>
          <w:color w:val="327D4B"/>
          <w:sz w:val="28"/>
          <w:szCs w:val="28"/>
          <w:bdr w:val="none" w:sz="0" w:space="0" w:color="auto" w:frame="1"/>
        </w:rPr>
        <w:t>двадцатипятикратной</w:t>
      </w:r>
      <w:proofErr w:type="spellEnd"/>
      <w:r>
        <w:rPr>
          <w:color w:val="327D4B"/>
          <w:sz w:val="28"/>
          <w:szCs w:val="28"/>
          <w:bdr w:val="none" w:sz="0" w:space="0" w:color="auto" w:frame="1"/>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w:t>
      </w:r>
      <w:r>
        <w:rPr>
          <w:color w:val="327D4B"/>
          <w:sz w:val="28"/>
          <w:szCs w:val="28"/>
          <w:bdr w:val="none" w:sz="0" w:space="0" w:color="auto" w:frame="1"/>
        </w:rPr>
        <w:lastRenderedPageBreak/>
        <w:t>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5. Деяния, предусмотренные частями первой, третьей, четвертой настоящей статьи, если они совершены:</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а) группой лиц по предварительному сговору или организованной группой;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б) с вымогательством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 в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lastRenderedPageBreak/>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4" w:name="Par530"/>
      <w:bookmarkEnd w:id="14"/>
      <w:r>
        <w:rPr>
          <w:color w:val="327D4B"/>
          <w:sz w:val="28"/>
          <w:szCs w:val="28"/>
          <w:bdr w:val="none" w:sz="0" w:space="0" w:color="auto" w:frame="1"/>
        </w:rPr>
        <w:t>Статья 291. Дача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lastRenderedPageBreak/>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4. Деяния, предусмотренные частями первой - третьей настоящей статьи, если они совершены:</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а) группой лиц по предварительному сговору или организованной группой;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б) в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5. Деяния, предусмотренные частями первой - четвертой настоящей статьи, совершенные в особо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5" w:name="Par546"/>
      <w:bookmarkEnd w:id="15"/>
      <w:r>
        <w:rPr>
          <w:color w:val="327D4B"/>
          <w:sz w:val="28"/>
          <w:szCs w:val="28"/>
          <w:bdr w:val="none" w:sz="0" w:space="0" w:color="auto" w:frame="1"/>
        </w:rPr>
        <w:t>Статья 291.1. Посредничество во взяточничестве</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w:t>
      </w:r>
      <w:r>
        <w:rPr>
          <w:color w:val="327D4B"/>
          <w:sz w:val="28"/>
          <w:szCs w:val="28"/>
          <w:bdr w:val="none" w:sz="0" w:space="0" w:color="auto" w:frame="1"/>
        </w:rPr>
        <w:lastRenderedPageBreak/>
        <w:t>свободы на срок до пяти лет со штрафом в размере двадцатикратной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Посредничество во взяточничестве, совершенное:</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а) группой лиц по предварительному сговору или организованной группой;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б) в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4. Посредничество во взяточничестве, совершенное в особо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5. Обещание или предложение посредничества во взяточничестве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lastRenderedPageBreak/>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6" w:name="Par562"/>
      <w:bookmarkEnd w:id="16"/>
      <w:r>
        <w:rPr>
          <w:color w:val="327D4B"/>
          <w:sz w:val="28"/>
          <w:szCs w:val="28"/>
          <w:bdr w:val="none" w:sz="0" w:space="0" w:color="auto" w:frame="1"/>
        </w:rPr>
        <w:t>Статья 292. Служебный подлог</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7" w:name="Par569"/>
      <w:bookmarkEnd w:id="17"/>
      <w:r>
        <w:rPr>
          <w:color w:val="327D4B"/>
          <w:sz w:val="28"/>
          <w:szCs w:val="28"/>
          <w:bdr w:val="none" w:sz="0" w:space="0" w:color="auto" w:frame="1"/>
        </w:rPr>
        <w:t>Статья 304. Провокация взятки либо коммерческого подкупа</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w:t>
      </w:r>
      <w:r>
        <w:rPr>
          <w:color w:val="327D4B"/>
          <w:sz w:val="28"/>
          <w:szCs w:val="28"/>
          <w:bdr w:val="none" w:sz="0" w:space="0" w:color="auto" w:frame="1"/>
        </w:rPr>
        <w:lastRenderedPageBreak/>
        <w:t>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 соответствии со статьей 151 Уголовно-процессуального кодекса Российской Федерации предварительное следствие производится:</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w:t>
      </w:r>
      <w:r>
        <w:rPr>
          <w:color w:val="327D4B"/>
          <w:sz w:val="28"/>
          <w:szCs w:val="28"/>
          <w:bdr w:val="none" w:sz="0" w:space="0" w:color="auto" w:frame="1"/>
        </w:rPr>
        <w:lastRenderedPageBreak/>
        <w:t>3, 201 ("Злоупотребление полномочиями"), может производиться также следователями органа, выявившего эти преступления.</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8" w:name="Par582"/>
      <w:bookmarkEnd w:id="18"/>
      <w:r>
        <w:rPr>
          <w:color w:val="327D4B"/>
          <w:sz w:val="28"/>
          <w:szCs w:val="28"/>
          <w:bdr w:val="none" w:sz="0" w:space="0" w:color="auto" w:frame="1"/>
        </w:rPr>
        <w:t>Кодекс Российской Федерации об административных правонарушениях</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19" w:name="Par584"/>
      <w:bookmarkEnd w:id="19"/>
      <w:r>
        <w:rPr>
          <w:color w:val="327D4B"/>
          <w:sz w:val="28"/>
          <w:szCs w:val="28"/>
          <w:bdr w:val="none" w:sz="0" w:space="0" w:color="auto" w:frame="1"/>
        </w:rPr>
        <w:t>Статья 19.28. Незаконное вознаграждение от имени юридического лица</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Действия, предусмотренные частью 1 настоящей статьи, совершенные в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Действия, предусмотренные частью 1 настоящей статьи, совершенные в особо крупном размере,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w:t>
      </w:r>
      <w:r>
        <w:rPr>
          <w:color w:val="327D4B"/>
          <w:sz w:val="28"/>
          <w:szCs w:val="28"/>
          <w:bdr w:val="none" w:sz="0" w:space="0" w:color="auto" w:frame="1"/>
        </w:rPr>
        <w:lastRenderedPageBreak/>
        <w:t>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Примечания:</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4. В настоящей статье крупным размером признаются сумма денег, стоимость ценных бумаг, иного имущества, услуг имущественного </w:t>
      </w:r>
      <w:r>
        <w:rPr>
          <w:color w:val="327D4B"/>
          <w:sz w:val="28"/>
          <w:szCs w:val="28"/>
          <w:bdr w:val="none" w:sz="0" w:space="0" w:color="auto" w:frame="1"/>
        </w:rPr>
        <w:lastRenderedPageBreak/>
        <w:t>характера, иных имущественных прав, превышающие один миллион рублей, особо крупным размером - превышающие двадцать миллионов рублей.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По итогам анализа положений статьи 19.28 КоАП РФ и статьи 14 Федерального закона от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20" w:name="Par604"/>
      <w:bookmarkEnd w:id="20"/>
      <w:r>
        <w:rPr>
          <w:color w:val="327D4B"/>
          <w:sz w:val="28"/>
          <w:szCs w:val="28"/>
          <w:bdr w:val="none" w:sz="0" w:space="0" w:color="auto" w:frame="1"/>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влечет наложение административного штрафа на граждан в размере от двух тысяч до четырех тысяч рублей; на должностных лиц - от двадцати </w:t>
      </w:r>
      <w:r>
        <w:rPr>
          <w:color w:val="327D4B"/>
          <w:sz w:val="28"/>
          <w:szCs w:val="28"/>
          <w:bdr w:val="none" w:sz="0" w:space="0" w:color="auto" w:frame="1"/>
        </w:rPr>
        <w:lastRenderedPageBreak/>
        <w:t>тысяч до пятидесяти тысяч рублей; на юридических лиц - от ста тысяч до пятисот тысяч рублей.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В свою очередь, на работодателе согласно части 4 статьи 12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w:t>
      </w:r>
      <w:r>
        <w:rPr>
          <w:color w:val="327D4B"/>
          <w:sz w:val="28"/>
          <w:szCs w:val="28"/>
          <w:bdr w:val="none" w:sz="0" w:space="0" w:color="auto" w:frame="1"/>
        </w:rPr>
        <w:lastRenderedPageBreak/>
        <w:t>правовыми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Таким образом, несоблюдение работодателем (заказчиком работ, услуг) обязанности, предусмотренной частью 4 статьи 12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21" w:name="Par616"/>
      <w:bookmarkEnd w:id="21"/>
      <w:r>
        <w:rPr>
          <w:color w:val="327D4B"/>
          <w:sz w:val="28"/>
          <w:szCs w:val="28"/>
          <w:bdr w:val="none" w:sz="0" w:space="0" w:color="auto" w:frame="1"/>
        </w:rPr>
        <w:t>Трудовой кодекс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bookmarkStart w:id="22" w:name="Par618"/>
      <w:bookmarkEnd w:id="22"/>
      <w:r>
        <w:rPr>
          <w:color w:val="327D4B"/>
          <w:sz w:val="28"/>
          <w:szCs w:val="28"/>
          <w:bdr w:val="none" w:sz="0" w:space="0" w:color="auto" w:frame="1"/>
        </w:rPr>
        <w:t>Статья 64.1 Трудового кодекса Российской Федерации (далее - ТК РФ)</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xml:space="preserve">Граждане, замещавшие должности государственной или муниципальной службы, перечень которых устанавливается нормативными правовыми </w:t>
      </w:r>
      <w:r>
        <w:rPr>
          <w:color w:val="327D4B"/>
          <w:sz w:val="28"/>
          <w:szCs w:val="28"/>
          <w:bdr w:val="none" w:sz="0" w:space="0" w:color="auto" w:frame="1"/>
        </w:rPr>
        <w:lastRenderedPageBreak/>
        <w:t>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1) непринятия работником мер по предотвращению или урегулированию конфликта интересов, стороной которого он является;</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имеют счета (вклады) в иностранных банках, расположенных за пределами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хранят наличные денежные средства и ценности в иностранных банках, расположенных за пределами Российской Федерации;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владеют и (или) пользуются иностранными финансовыми инструментами.</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Приведенные нормы действуют по отношению к следующим лицам:</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color w:val="327D4B"/>
          <w:sz w:val="28"/>
          <w:szCs w:val="28"/>
          <w:bdr w:val="none" w:sz="0" w:space="0" w:color="auto" w:frame="1"/>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349.2 ТК РФ).</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F7287E" w:rsidRDefault="00F7287E" w:rsidP="00F7287E">
      <w:pPr>
        <w:pStyle w:val="consplusnormal"/>
        <w:spacing w:before="0" w:beforeAutospacing="0" w:after="0" w:afterAutospacing="0" w:line="360" w:lineRule="atLeast"/>
        <w:ind w:firstLine="540"/>
        <w:jc w:val="both"/>
        <w:textAlignment w:val="baseline"/>
        <w:rPr>
          <w:rFonts w:ascii="Tahoma" w:hAnsi="Tahoma" w:cs="Tahoma"/>
          <w:color w:val="327D4B"/>
        </w:rPr>
      </w:pPr>
      <w:r>
        <w:rPr>
          <w:rFonts w:ascii="Tahoma" w:hAnsi="Tahoma" w:cs="Tahoma"/>
          <w:color w:val="327D4B"/>
        </w:rPr>
        <w:t> </w:t>
      </w:r>
    </w:p>
    <w:p w:rsidR="006A12D5" w:rsidRDefault="006A12D5"/>
    <w:sectPr w:rsidR="006A12D5" w:rsidSect="006A1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7E"/>
    <w:rsid w:val="000026A7"/>
    <w:rsid w:val="00031BD8"/>
    <w:rsid w:val="00035766"/>
    <w:rsid w:val="00040AA4"/>
    <w:rsid w:val="00046E6A"/>
    <w:rsid w:val="00064D72"/>
    <w:rsid w:val="00070A6F"/>
    <w:rsid w:val="000C0DCA"/>
    <w:rsid w:val="000C2532"/>
    <w:rsid w:val="000E319B"/>
    <w:rsid w:val="000F170F"/>
    <w:rsid w:val="000F41DB"/>
    <w:rsid w:val="000F79E3"/>
    <w:rsid w:val="0012085C"/>
    <w:rsid w:val="0015070C"/>
    <w:rsid w:val="001562C6"/>
    <w:rsid w:val="001576A1"/>
    <w:rsid w:val="001737AB"/>
    <w:rsid w:val="001A22D5"/>
    <w:rsid w:val="001B4D77"/>
    <w:rsid w:val="001C18F3"/>
    <w:rsid w:val="001C7A01"/>
    <w:rsid w:val="001D180F"/>
    <w:rsid w:val="00202571"/>
    <w:rsid w:val="00204084"/>
    <w:rsid w:val="00211FDB"/>
    <w:rsid w:val="002258C2"/>
    <w:rsid w:val="00230CB0"/>
    <w:rsid w:val="00233818"/>
    <w:rsid w:val="00237807"/>
    <w:rsid w:val="0024193E"/>
    <w:rsid w:val="0025036F"/>
    <w:rsid w:val="00254C02"/>
    <w:rsid w:val="00274397"/>
    <w:rsid w:val="002746BF"/>
    <w:rsid w:val="0028653F"/>
    <w:rsid w:val="00287237"/>
    <w:rsid w:val="002C502F"/>
    <w:rsid w:val="002D5E13"/>
    <w:rsid w:val="002D618D"/>
    <w:rsid w:val="002F2FFA"/>
    <w:rsid w:val="00303760"/>
    <w:rsid w:val="0030651D"/>
    <w:rsid w:val="003200E3"/>
    <w:rsid w:val="00336782"/>
    <w:rsid w:val="00336D52"/>
    <w:rsid w:val="00341934"/>
    <w:rsid w:val="00376949"/>
    <w:rsid w:val="00382E89"/>
    <w:rsid w:val="003875E8"/>
    <w:rsid w:val="003878CA"/>
    <w:rsid w:val="00396699"/>
    <w:rsid w:val="003A27BF"/>
    <w:rsid w:val="003B122E"/>
    <w:rsid w:val="003C02B0"/>
    <w:rsid w:val="003C1EBC"/>
    <w:rsid w:val="003C5F1C"/>
    <w:rsid w:val="003C7A51"/>
    <w:rsid w:val="003D2661"/>
    <w:rsid w:val="003E374E"/>
    <w:rsid w:val="003F02B8"/>
    <w:rsid w:val="003F233C"/>
    <w:rsid w:val="003F327C"/>
    <w:rsid w:val="003F4557"/>
    <w:rsid w:val="003F584F"/>
    <w:rsid w:val="00421DDF"/>
    <w:rsid w:val="00423526"/>
    <w:rsid w:val="00487C4B"/>
    <w:rsid w:val="00490597"/>
    <w:rsid w:val="004A46EB"/>
    <w:rsid w:val="004A5442"/>
    <w:rsid w:val="004A6890"/>
    <w:rsid w:val="004F5C29"/>
    <w:rsid w:val="0050621D"/>
    <w:rsid w:val="0051686C"/>
    <w:rsid w:val="00533EF3"/>
    <w:rsid w:val="00563C14"/>
    <w:rsid w:val="005657E9"/>
    <w:rsid w:val="00573E28"/>
    <w:rsid w:val="005C7B80"/>
    <w:rsid w:val="005D2221"/>
    <w:rsid w:val="005D3A3D"/>
    <w:rsid w:val="005D5531"/>
    <w:rsid w:val="005F4112"/>
    <w:rsid w:val="005F5B83"/>
    <w:rsid w:val="00621D25"/>
    <w:rsid w:val="00623C59"/>
    <w:rsid w:val="00644C99"/>
    <w:rsid w:val="00656EDA"/>
    <w:rsid w:val="0066499C"/>
    <w:rsid w:val="00676A17"/>
    <w:rsid w:val="00676C15"/>
    <w:rsid w:val="0067797D"/>
    <w:rsid w:val="00680A0D"/>
    <w:rsid w:val="00696419"/>
    <w:rsid w:val="006A12D5"/>
    <w:rsid w:val="006A12FB"/>
    <w:rsid w:val="006A6E07"/>
    <w:rsid w:val="006B3B73"/>
    <w:rsid w:val="006C0E5A"/>
    <w:rsid w:val="006F1DA1"/>
    <w:rsid w:val="00712529"/>
    <w:rsid w:val="00717768"/>
    <w:rsid w:val="00736508"/>
    <w:rsid w:val="007535FB"/>
    <w:rsid w:val="00754B93"/>
    <w:rsid w:val="00756179"/>
    <w:rsid w:val="00766BAF"/>
    <w:rsid w:val="00772613"/>
    <w:rsid w:val="007B0A6D"/>
    <w:rsid w:val="007B14CC"/>
    <w:rsid w:val="007B6639"/>
    <w:rsid w:val="007B7753"/>
    <w:rsid w:val="007D74BC"/>
    <w:rsid w:val="007F30F3"/>
    <w:rsid w:val="007F6BC3"/>
    <w:rsid w:val="00860937"/>
    <w:rsid w:val="00875437"/>
    <w:rsid w:val="00884141"/>
    <w:rsid w:val="008876E2"/>
    <w:rsid w:val="00893B9B"/>
    <w:rsid w:val="00895A1B"/>
    <w:rsid w:val="008B765C"/>
    <w:rsid w:val="008F0FF7"/>
    <w:rsid w:val="008F5E86"/>
    <w:rsid w:val="009121F9"/>
    <w:rsid w:val="009424A7"/>
    <w:rsid w:val="00963D3F"/>
    <w:rsid w:val="00963E3E"/>
    <w:rsid w:val="00967C70"/>
    <w:rsid w:val="009B01D8"/>
    <w:rsid w:val="009B5464"/>
    <w:rsid w:val="009C4791"/>
    <w:rsid w:val="009D4333"/>
    <w:rsid w:val="009D516D"/>
    <w:rsid w:val="00A14DF5"/>
    <w:rsid w:val="00A4457F"/>
    <w:rsid w:val="00A460C7"/>
    <w:rsid w:val="00A67B83"/>
    <w:rsid w:val="00A70C60"/>
    <w:rsid w:val="00A72F99"/>
    <w:rsid w:val="00A73682"/>
    <w:rsid w:val="00AB6F2B"/>
    <w:rsid w:val="00AC2B0C"/>
    <w:rsid w:val="00AD01EC"/>
    <w:rsid w:val="00AD42C0"/>
    <w:rsid w:val="00AD4EF5"/>
    <w:rsid w:val="00AF1583"/>
    <w:rsid w:val="00AF1A2E"/>
    <w:rsid w:val="00B03C9F"/>
    <w:rsid w:val="00B06E8F"/>
    <w:rsid w:val="00B14E1C"/>
    <w:rsid w:val="00B2432D"/>
    <w:rsid w:val="00B35F87"/>
    <w:rsid w:val="00B437E5"/>
    <w:rsid w:val="00B45A8F"/>
    <w:rsid w:val="00B634D1"/>
    <w:rsid w:val="00B66D4E"/>
    <w:rsid w:val="00B67B5B"/>
    <w:rsid w:val="00B76FC1"/>
    <w:rsid w:val="00B77E99"/>
    <w:rsid w:val="00B77F3B"/>
    <w:rsid w:val="00BA31B4"/>
    <w:rsid w:val="00BB2C05"/>
    <w:rsid w:val="00BC0512"/>
    <w:rsid w:val="00BE730D"/>
    <w:rsid w:val="00BF04B0"/>
    <w:rsid w:val="00BF3538"/>
    <w:rsid w:val="00BF460A"/>
    <w:rsid w:val="00BF7AD0"/>
    <w:rsid w:val="00C44510"/>
    <w:rsid w:val="00C52E26"/>
    <w:rsid w:val="00C71ABB"/>
    <w:rsid w:val="00C73A5C"/>
    <w:rsid w:val="00CB2777"/>
    <w:rsid w:val="00CB548D"/>
    <w:rsid w:val="00CC0B3A"/>
    <w:rsid w:val="00CD72B8"/>
    <w:rsid w:val="00CD761C"/>
    <w:rsid w:val="00CE2AFB"/>
    <w:rsid w:val="00D00CE8"/>
    <w:rsid w:val="00D03EE6"/>
    <w:rsid w:val="00D10350"/>
    <w:rsid w:val="00D11327"/>
    <w:rsid w:val="00D121DE"/>
    <w:rsid w:val="00D2355F"/>
    <w:rsid w:val="00D33547"/>
    <w:rsid w:val="00D36ED3"/>
    <w:rsid w:val="00D74BA1"/>
    <w:rsid w:val="00DA4E72"/>
    <w:rsid w:val="00DC388C"/>
    <w:rsid w:val="00E46F9B"/>
    <w:rsid w:val="00E47A2F"/>
    <w:rsid w:val="00E51955"/>
    <w:rsid w:val="00E6780F"/>
    <w:rsid w:val="00E86062"/>
    <w:rsid w:val="00E938D8"/>
    <w:rsid w:val="00E97E56"/>
    <w:rsid w:val="00EA5FFF"/>
    <w:rsid w:val="00EB5CEA"/>
    <w:rsid w:val="00ED6729"/>
    <w:rsid w:val="00EF221F"/>
    <w:rsid w:val="00F020B6"/>
    <w:rsid w:val="00F10C44"/>
    <w:rsid w:val="00F520D2"/>
    <w:rsid w:val="00F55EFB"/>
    <w:rsid w:val="00F60EDA"/>
    <w:rsid w:val="00F64704"/>
    <w:rsid w:val="00F7287E"/>
    <w:rsid w:val="00F73A8C"/>
    <w:rsid w:val="00F8437B"/>
    <w:rsid w:val="00F95EB0"/>
    <w:rsid w:val="00FB19CA"/>
    <w:rsid w:val="00FC5A47"/>
    <w:rsid w:val="00FD0B5D"/>
    <w:rsid w:val="00FD3BF1"/>
    <w:rsid w:val="00FE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1E6EF-DB45-4E40-827E-11CE27BE9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728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7639</Words>
  <Characters>43545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ADAM</cp:lastModifiedBy>
  <cp:revision>2</cp:revision>
  <dcterms:created xsi:type="dcterms:W3CDTF">2015-07-03T18:12:00Z</dcterms:created>
  <dcterms:modified xsi:type="dcterms:W3CDTF">2015-07-03T18:12:00Z</dcterms:modified>
</cp:coreProperties>
</file>